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22480AD" w:rsidR="000E1E2B" w:rsidRPr="00432C89" w:rsidRDefault="00E45289" w:rsidP="004C0F4F">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 xml:space="preserve">3GPP TSG RAN </w:t>
      </w:r>
      <w:r w:rsidR="0044682A" w:rsidRPr="00121552">
        <w:rPr>
          <w:rFonts w:ascii="Arial" w:hAnsi="Arial" w:cs="Arial"/>
          <w:b/>
          <w:bCs/>
          <w:sz w:val="28"/>
          <w:lang w:eastAsia="zh-CN"/>
        </w:rPr>
        <w:t>WG1</w:t>
      </w:r>
      <w:r w:rsidR="00AC0D23" w:rsidRPr="00121552">
        <w:rPr>
          <w:rFonts w:ascii="Arial" w:hAnsi="Arial" w:cs="Arial"/>
          <w:b/>
          <w:bCs/>
          <w:sz w:val="28"/>
          <w:lang w:eastAsia="zh-CN"/>
        </w:rPr>
        <w:t xml:space="preserve"> </w:t>
      </w:r>
      <w:r w:rsidR="00496355">
        <w:rPr>
          <w:rFonts w:ascii="Arial" w:hAnsi="Arial" w:cs="Arial"/>
          <w:b/>
          <w:bCs/>
          <w:sz w:val="28"/>
          <w:lang w:eastAsia="zh-CN"/>
        </w:rPr>
        <w:t>#10</w:t>
      </w:r>
      <w:r w:rsidR="00496355">
        <w:rPr>
          <w:rFonts w:ascii="Arial" w:hAnsi="Arial" w:cs="Arial" w:hint="eastAsia"/>
          <w:b/>
          <w:bCs/>
          <w:sz w:val="28"/>
          <w:lang w:eastAsia="zh-CN"/>
        </w:rPr>
        <w:t>8</w:t>
      </w:r>
      <w:r w:rsidR="00771EC2" w:rsidRPr="00121552">
        <w:rPr>
          <w:rFonts w:ascii="Arial" w:hAnsi="Arial" w:cs="Arial"/>
          <w:b/>
          <w:bCs/>
          <w:sz w:val="28"/>
          <w:lang w:eastAsia="zh-CN"/>
        </w:rPr>
        <w:t>-e</w:t>
      </w:r>
      <w:r w:rsidR="000E1E2B" w:rsidRPr="00121552">
        <w:rPr>
          <w:rFonts w:ascii="Arial" w:eastAsia="MS Mincho" w:hAnsi="Arial" w:cs="Arial"/>
          <w:b/>
          <w:bCs/>
          <w:sz w:val="28"/>
          <w:lang w:eastAsia="ja-JP"/>
        </w:rPr>
        <w:t xml:space="preserve"> </w:t>
      </w:r>
      <w:r w:rsidR="000E1E2B" w:rsidRPr="00121552">
        <w:rPr>
          <w:rFonts w:ascii="Arial" w:hAnsi="Arial" w:cs="Arial"/>
          <w:b/>
          <w:bCs/>
          <w:sz w:val="28"/>
          <w:lang w:eastAsia="zh-CN"/>
        </w:rPr>
        <w:t xml:space="preserve">  </w:t>
      </w:r>
      <w:r w:rsidR="0044682A" w:rsidRPr="00121552">
        <w:rPr>
          <w:rFonts w:ascii="Arial" w:hAnsi="Arial" w:cs="Arial"/>
          <w:b/>
          <w:bCs/>
          <w:sz w:val="28"/>
          <w:lang w:eastAsia="zh-CN"/>
        </w:rPr>
        <w:t xml:space="preserve">                              </w:t>
      </w:r>
      <w:r w:rsidR="00886C10" w:rsidRPr="00121552">
        <w:rPr>
          <w:rFonts w:ascii="Arial" w:hAnsi="Arial" w:cs="Arial"/>
          <w:b/>
          <w:bCs/>
          <w:sz w:val="28"/>
          <w:lang w:eastAsia="zh-CN"/>
        </w:rPr>
        <w:t xml:space="preserve">            </w:t>
      </w:r>
      <w:r w:rsidR="00771EC2" w:rsidRPr="00121552">
        <w:rPr>
          <w:rFonts w:ascii="Arial" w:hAnsi="Arial" w:cs="Arial"/>
          <w:b/>
          <w:bCs/>
          <w:sz w:val="28"/>
          <w:lang w:eastAsia="zh-CN"/>
        </w:rPr>
        <w:t xml:space="preserve">  </w:t>
      </w:r>
      <w:r w:rsidR="00886C10" w:rsidRPr="00121552">
        <w:rPr>
          <w:rFonts w:ascii="Arial" w:hAnsi="Arial" w:cs="Arial"/>
          <w:b/>
          <w:bCs/>
          <w:sz w:val="28"/>
          <w:lang w:eastAsia="zh-CN"/>
        </w:rPr>
        <w:t xml:space="preserve">    </w:t>
      </w:r>
      <w:r w:rsidR="00432C89" w:rsidRPr="00432C89">
        <w:rPr>
          <w:rFonts w:ascii="Arial" w:hAnsi="Arial" w:cs="Arial"/>
          <w:b/>
          <w:bCs/>
          <w:sz w:val="28"/>
          <w:lang w:eastAsia="zh-CN"/>
        </w:rPr>
        <w:t>R1-2201550</w:t>
      </w:r>
    </w:p>
    <w:p w14:paraId="188D9AA3" w14:textId="77777777" w:rsidR="00496355" w:rsidRPr="009513AC" w:rsidRDefault="00496355" w:rsidP="00496355">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70FDFE2E"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1362CB">
        <w:rPr>
          <w:b/>
        </w:rPr>
        <w:t>.</w:t>
      </w:r>
      <w:r w:rsidR="00A858D1">
        <w:rPr>
          <w:rFonts w:hint="eastAsia"/>
          <w:b/>
          <w:lang w:eastAsia="zh-CN"/>
        </w:rPr>
        <w:t>2</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43D4F29A" w:rsidR="003C346D" w:rsidRPr="00CF123B" w:rsidRDefault="003C346D" w:rsidP="004C0F4F">
      <w:pPr>
        <w:spacing w:after="60"/>
        <w:ind w:left="1555" w:hanging="1555"/>
        <w:rPr>
          <w:b/>
          <w:lang w:eastAsia="zh-CN"/>
        </w:rPr>
      </w:pPr>
      <w:r w:rsidRPr="00CF123B">
        <w:rPr>
          <w:b/>
        </w:rPr>
        <w:t>Title:</w:t>
      </w:r>
      <w:r w:rsidRPr="00CF123B">
        <w:rPr>
          <w:b/>
        </w:rPr>
        <w:tab/>
      </w:r>
      <w:r w:rsidR="00B41E7E" w:rsidRPr="00B41E7E">
        <w:rPr>
          <w:b/>
        </w:rPr>
        <w:t>Discussion on other aspects for RedCap</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32C4B94B" w14:textId="77777777" w:rsidR="00C46F55" w:rsidRDefault="00C46F55" w:rsidP="00C46F55">
      <w:pPr>
        <w:rPr>
          <w:lang w:eastAsia="zh-CN"/>
        </w:rPr>
      </w:pPr>
      <w:r>
        <w:rPr>
          <w:lang w:eastAsia="zh-CN"/>
        </w:rPr>
        <w:t>According to the Rel.</w:t>
      </w:r>
      <w:r w:rsidRPr="00ED5DC0">
        <w:rPr>
          <w:lang w:eastAsia="zh-CN"/>
        </w:rPr>
        <w:t>17</w:t>
      </w:r>
      <w:r>
        <w:rPr>
          <w:lang w:eastAsia="zh-CN"/>
        </w:rPr>
        <w:t xml:space="preserve"> </w:t>
      </w:r>
      <w:r w:rsidRPr="00E71E64">
        <w:rPr>
          <w:lang w:eastAsia="zh-CN"/>
        </w:rPr>
        <w:t xml:space="preserve">RedCap WID </w:t>
      </w:r>
      <w:r w:rsidRPr="00371ECA">
        <w:rPr>
          <w:lang w:eastAsia="zh-CN"/>
        </w:rPr>
        <w:t>[1]</w:t>
      </w:r>
      <w:r>
        <w:rPr>
          <w:lang w:eastAsia="zh-CN"/>
        </w:rPr>
        <w:t xml:space="preserve">, </w:t>
      </w:r>
      <w:r w:rsidRPr="005F14B1">
        <w:rPr>
          <w:lang w:eastAsia="zh-CN"/>
        </w:rPr>
        <w:t>HD-FDD type A</w:t>
      </w:r>
      <w:r>
        <w:rPr>
          <w:lang w:eastAsia="zh-CN"/>
        </w:rPr>
        <w:t xml:space="preserve"> </w:t>
      </w:r>
      <w:r>
        <w:rPr>
          <w:rFonts w:hint="eastAsia"/>
          <w:lang w:eastAsia="zh-CN"/>
        </w:rPr>
        <w:t>s</w:t>
      </w:r>
      <w:r>
        <w:rPr>
          <w:lang w:eastAsia="zh-CN"/>
        </w:rPr>
        <w:t xml:space="preserve">hould be specified with </w:t>
      </w:r>
      <w:r w:rsidRPr="001B1D74">
        <w:rPr>
          <w:lang w:eastAsia="zh-CN"/>
        </w:rPr>
        <w:t>the minimum specification impact</w:t>
      </w:r>
      <w:r>
        <w:rPr>
          <w:lang w:eastAsia="zh-CN"/>
        </w:rPr>
        <w:t>.</w:t>
      </w:r>
    </w:p>
    <w:tbl>
      <w:tblPr>
        <w:tblStyle w:val="ad"/>
        <w:tblW w:w="0" w:type="auto"/>
        <w:tblLook w:val="04A0" w:firstRow="1" w:lastRow="0" w:firstColumn="1" w:lastColumn="0" w:noHBand="0" w:noVBand="1"/>
      </w:tblPr>
      <w:tblGrid>
        <w:gridCol w:w="9307"/>
      </w:tblGrid>
      <w:tr w:rsidR="00C46F55" w14:paraId="05AC60C1" w14:textId="77777777" w:rsidTr="00272DA0">
        <w:tc>
          <w:tcPr>
            <w:tcW w:w="9307" w:type="dxa"/>
          </w:tcPr>
          <w:p w14:paraId="40054F4F" w14:textId="77777777" w:rsidR="00C46F55" w:rsidRPr="00371ECA" w:rsidRDefault="00C46F55" w:rsidP="00C46F55">
            <w:pPr>
              <w:pStyle w:val="B1"/>
              <w:numPr>
                <w:ilvl w:val="0"/>
                <w:numId w:val="19"/>
              </w:numPr>
              <w:overflowPunct w:val="0"/>
              <w:autoSpaceDE w:val="0"/>
              <w:autoSpaceDN w:val="0"/>
              <w:adjustRightInd w:val="0"/>
              <w:ind w:left="720"/>
              <w:jc w:val="both"/>
              <w:textAlignment w:val="baseline"/>
              <w:rPr>
                <w:rFonts w:eastAsia="宋体"/>
                <w:i/>
                <w:sz w:val="22"/>
                <w:lang w:val="en-US" w:eastAsia="ja-JP"/>
              </w:rPr>
            </w:pPr>
            <w:r w:rsidRPr="00371ECA">
              <w:rPr>
                <w:rFonts w:eastAsia="宋体"/>
                <w:i/>
                <w:sz w:val="22"/>
                <w:lang w:val="en-US" w:eastAsia="ja-JP"/>
              </w:rPr>
              <w:t>Specify support for the following UE complexity reduction features [RAN1, RAN2, RAN4]:</w:t>
            </w:r>
          </w:p>
          <w:p w14:paraId="26C0541B" w14:textId="77777777" w:rsidR="00C46F55" w:rsidRPr="00371ECA" w:rsidRDefault="00C46F55" w:rsidP="00C46F55">
            <w:pPr>
              <w:pStyle w:val="a3"/>
              <w:widowControl/>
              <w:numPr>
                <w:ilvl w:val="0"/>
                <w:numId w:val="20"/>
              </w:numPr>
              <w:overflowPunct w:val="0"/>
              <w:autoSpaceDE/>
              <w:autoSpaceDN/>
              <w:adjustRightInd/>
              <w:snapToGrid/>
              <w:ind w:leftChars="349" w:left="1128"/>
              <w:rPr>
                <w:bCs/>
                <w:i/>
                <w:iCs/>
                <w:sz w:val="22"/>
              </w:rPr>
            </w:pPr>
            <w:r w:rsidRPr="00371ECA">
              <w:rPr>
                <w:bCs/>
                <w:i/>
                <w:iCs/>
                <w:sz w:val="22"/>
              </w:rPr>
              <w:t>Duplex operation:</w:t>
            </w:r>
          </w:p>
          <w:p w14:paraId="3B675172" w14:textId="77777777" w:rsidR="00C46F55" w:rsidRPr="00E71E64" w:rsidRDefault="00C46F55" w:rsidP="00C46F55">
            <w:pPr>
              <w:pStyle w:val="a3"/>
              <w:widowControl/>
              <w:numPr>
                <w:ilvl w:val="2"/>
                <w:numId w:val="21"/>
              </w:numPr>
              <w:overflowPunct w:val="0"/>
              <w:autoSpaceDE/>
              <w:autoSpaceDN/>
              <w:adjustRightInd/>
              <w:snapToGrid/>
              <w:ind w:left="1491" w:hanging="357"/>
              <w:rPr>
                <w:bCs/>
                <w:i/>
                <w:iCs/>
              </w:rPr>
            </w:pPr>
            <w:r w:rsidRPr="00371ECA">
              <w:rPr>
                <w:bCs/>
                <w:i/>
                <w:iCs/>
                <w:sz w:val="22"/>
              </w:rPr>
              <w:t>HD-FDD type A with the minimum specification impact (Note that FD-FDD and TDD are also supported.)</w:t>
            </w:r>
          </w:p>
        </w:tc>
      </w:tr>
    </w:tbl>
    <w:p w14:paraId="4770ED22" w14:textId="5741C3BB" w:rsidR="005F14B1" w:rsidRDefault="00E23863" w:rsidP="000F7446">
      <w:r w:rsidRPr="00121552">
        <w:rPr>
          <w:lang w:eastAsia="zh-CN"/>
        </w:rPr>
        <w:t>In the last RAN1</w:t>
      </w:r>
      <w:r w:rsidR="00731EED">
        <w:rPr>
          <w:lang w:eastAsia="zh-CN"/>
        </w:rPr>
        <w:t>#107</w:t>
      </w:r>
      <w:r w:rsidRPr="00121552">
        <w:rPr>
          <w:lang w:eastAsia="zh-CN"/>
        </w:rPr>
        <w:t xml:space="preserve"> meeting,</w:t>
      </w:r>
      <w:r w:rsidRPr="00121552">
        <w:t xml:space="preserve"> </w:t>
      </w:r>
      <w:r w:rsidR="000F7446" w:rsidRPr="00121552">
        <w:t xml:space="preserve">collision </w:t>
      </w:r>
      <w:r w:rsidR="00731EED">
        <w:t xml:space="preserve">issues </w:t>
      </w:r>
      <w:r w:rsidR="00731EED" w:rsidRPr="00496355">
        <w:rPr>
          <w:rFonts w:eastAsia="MS PGothic"/>
          <w:color w:val="000000"/>
          <w:sz w:val="20"/>
          <w:szCs w:val="20"/>
          <w:lang w:eastAsia="zh-CN"/>
        </w:rPr>
        <w:t xml:space="preserve">for HD-FDD </w:t>
      </w:r>
      <w:r w:rsidR="00731EED" w:rsidRPr="00731EED">
        <w:rPr>
          <w:rFonts w:eastAsia="MS PGothic"/>
          <w:color w:val="000000"/>
          <w:sz w:val="20"/>
          <w:szCs w:val="20"/>
          <w:lang w:eastAsia="zh-CN"/>
        </w:rPr>
        <w:t>operation</w:t>
      </w:r>
      <w:r w:rsidRPr="00121552">
        <w:t xml:space="preserve"> </w:t>
      </w:r>
      <w:r w:rsidR="00AF2180" w:rsidRPr="00121552">
        <w:t>were discussed</w:t>
      </w:r>
      <w:r w:rsidRPr="00121552">
        <w:rPr>
          <w:lang w:eastAsia="zh-CN"/>
        </w:rPr>
        <w:t xml:space="preserve">, </w:t>
      </w:r>
      <w:r w:rsidR="00AF2180" w:rsidRPr="00121552">
        <w:rPr>
          <w:lang w:eastAsia="zh-CN"/>
        </w:rPr>
        <w:t xml:space="preserve">and </w:t>
      </w:r>
      <w:r w:rsidR="005F14B1" w:rsidRPr="00121552">
        <w:rPr>
          <w:lang w:eastAsia="zh-CN"/>
        </w:rPr>
        <w:t xml:space="preserve">the following </w:t>
      </w:r>
      <w:r w:rsidR="005F14B1" w:rsidRPr="00121552">
        <w:rPr>
          <w:rFonts w:hint="eastAsia"/>
          <w:lang w:eastAsia="zh-CN"/>
        </w:rPr>
        <w:t>agreements</w:t>
      </w:r>
      <w:r w:rsidR="005F14B1" w:rsidRPr="00121552">
        <w:rPr>
          <w:lang w:eastAsia="zh-CN"/>
        </w:rPr>
        <w:t xml:space="preserve"> </w:t>
      </w:r>
      <w:r w:rsidR="001B1D74" w:rsidRPr="00121552">
        <w:rPr>
          <w:lang w:eastAsia="zh-CN"/>
        </w:rPr>
        <w:t>were</w:t>
      </w:r>
      <w:r w:rsidR="005F14B1" w:rsidRPr="00121552">
        <w:rPr>
          <w:lang w:eastAsia="zh-CN"/>
        </w:rPr>
        <w:t xml:space="preserve"> achieved [</w:t>
      </w:r>
      <w:r w:rsidR="00C46F55">
        <w:rPr>
          <w:lang w:eastAsia="zh-CN"/>
        </w:rPr>
        <w:t>2</w:t>
      </w:r>
      <w:r w:rsidR="005F14B1" w:rsidRPr="00121552">
        <w:rPr>
          <w:lang w:eastAsia="zh-CN"/>
        </w:rPr>
        <w:t>].</w:t>
      </w:r>
    </w:p>
    <w:tbl>
      <w:tblPr>
        <w:tblStyle w:val="ad"/>
        <w:tblW w:w="0" w:type="auto"/>
        <w:tblLook w:val="04A0" w:firstRow="1" w:lastRow="0" w:firstColumn="1" w:lastColumn="0" w:noHBand="0" w:noVBand="1"/>
      </w:tblPr>
      <w:tblGrid>
        <w:gridCol w:w="9307"/>
      </w:tblGrid>
      <w:tr w:rsidR="005F14B1" w:rsidRPr="00481B79" w14:paraId="77CB6353" w14:textId="77777777" w:rsidTr="00D4138B">
        <w:tc>
          <w:tcPr>
            <w:tcW w:w="9307" w:type="dxa"/>
          </w:tcPr>
          <w:p w14:paraId="4CD68DD2" w14:textId="77777777" w:rsidR="00496355" w:rsidRPr="00496355" w:rsidRDefault="00496355" w:rsidP="00496355">
            <w:pPr>
              <w:autoSpaceDE/>
              <w:autoSpaceDN/>
              <w:adjustRightInd/>
              <w:snapToGrid/>
              <w:spacing w:after="0" w:line="252" w:lineRule="atLeast"/>
              <w:jc w:val="left"/>
              <w:rPr>
                <w:rFonts w:eastAsia="MS PGothic"/>
                <w:b/>
                <w:bCs/>
                <w:color w:val="000000"/>
                <w:sz w:val="20"/>
                <w:szCs w:val="20"/>
                <w:highlight w:val="green"/>
                <w:lang w:eastAsia="zh-CN"/>
              </w:rPr>
            </w:pPr>
            <w:r w:rsidRPr="00496355">
              <w:rPr>
                <w:rFonts w:eastAsia="MS PGothic"/>
                <w:b/>
                <w:bCs/>
                <w:color w:val="000000"/>
                <w:sz w:val="20"/>
                <w:szCs w:val="20"/>
                <w:highlight w:val="green"/>
                <w:lang w:eastAsia="zh-CN"/>
              </w:rPr>
              <w:t>Agreement</w:t>
            </w:r>
          </w:p>
          <w:p w14:paraId="5E0BA1C1" w14:textId="77777777" w:rsidR="00496355" w:rsidRPr="00496355" w:rsidRDefault="00496355" w:rsidP="00496355">
            <w:pPr>
              <w:numPr>
                <w:ilvl w:val="0"/>
                <w:numId w:val="33"/>
              </w:numPr>
              <w:autoSpaceDE/>
              <w:autoSpaceDN/>
              <w:adjustRightInd/>
              <w:snapToGrid/>
              <w:spacing w:after="0" w:line="252" w:lineRule="atLeast"/>
              <w:jc w:val="left"/>
              <w:rPr>
                <w:rFonts w:eastAsia="MS PGothic"/>
                <w:color w:val="000000"/>
                <w:sz w:val="20"/>
                <w:szCs w:val="20"/>
                <w:lang w:eastAsia="zh-CN"/>
              </w:rPr>
            </w:pPr>
            <w:r w:rsidRPr="00496355">
              <w:rPr>
                <w:rFonts w:eastAsia="MS PGothic"/>
                <w:color w:val="000000"/>
                <w:sz w:val="20"/>
                <w:szCs w:val="20"/>
                <w:lang w:eastAsia="zh-CN"/>
              </w:rPr>
              <w:t>For Case 5 of dynamically scheduled UL transmission vs. SSB, support Option 2 at least for dynamically scheduled UL transmission other than Msg3 (re)transmission and PUCCH for Msg4</w:t>
            </w:r>
          </w:p>
          <w:p w14:paraId="7F495B9A" w14:textId="77777777" w:rsidR="00496355" w:rsidRPr="00496355" w:rsidRDefault="00496355" w:rsidP="00496355">
            <w:pPr>
              <w:numPr>
                <w:ilvl w:val="1"/>
                <w:numId w:val="33"/>
              </w:numPr>
              <w:autoSpaceDE/>
              <w:autoSpaceDN/>
              <w:adjustRightInd/>
              <w:snapToGrid/>
              <w:spacing w:after="0" w:line="252" w:lineRule="atLeast"/>
              <w:ind w:left="1134" w:hanging="425"/>
              <w:jc w:val="left"/>
              <w:rPr>
                <w:rFonts w:eastAsia="MS PGothic"/>
                <w:color w:val="000000"/>
                <w:sz w:val="20"/>
                <w:szCs w:val="20"/>
                <w:lang w:eastAsia="zh-CN"/>
              </w:rPr>
            </w:pPr>
            <w:r w:rsidRPr="00496355">
              <w:rPr>
                <w:rFonts w:eastAsia="MS PGothic"/>
                <w:color w:val="000000"/>
                <w:sz w:val="20"/>
                <w:szCs w:val="20"/>
                <w:lang w:eastAsia="zh-CN"/>
              </w:rPr>
              <w:t>Option 2: Reuse the existing collision handling principles of Rel-15/16 for NR TDD that SSB is prioritized over dynamically scheduled UL transmission</w:t>
            </w:r>
          </w:p>
          <w:p w14:paraId="3C4C11C4" w14:textId="77777777" w:rsidR="00496355" w:rsidRPr="00496355" w:rsidRDefault="00496355" w:rsidP="00496355">
            <w:pPr>
              <w:autoSpaceDE/>
              <w:autoSpaceDN/>
              <w:adjustRightInd/>
              <w:snapToGrid/>
              <w:spacing w:after="0" w:line="252" w:lineRule="atLeast"/>
              <w:jc w:val="left"/>
              <w:rPr>
                <w:rFonts w:eastAsia="MS PGothic"/>
                <w:b/>
                <w:bCs/>
                <w:color w:val="000000"/>
                <w:sz w:val="20"/>
                <w:szCs w:val="20"/>
                <w:highlight w:val="green"/>
                <w:lang w:eastAsia="zh-CN"/>
              </w:rPr>
            </w:pPr>
          </w:p>
          <w:p w14:paraId="4D52588E" w14:textId="77777777" w:rsidR="00496355" w:rsidRPr="00496355" w:rsidRDefault="00496355" w:rsidP="00496355">
            <w:pPr>
              <w:autoSpaceDE/>
              <w:autoSpaceDN/>
              <w:adjustRightInd/>
              <w:snapToGrid/>
              <w:spacing w:after="0" w:line="252" w:lineRule="atLeast"/>
              <w:jc w:val="left"/>
              <w:rPr>
                <w:rFonts w:eastAsia="MS PGothic"/>
                <w:b/>
                <w:bCs/>
                <w:color w:val="000000"/>
                <w:sz w:val="20"/>
                <w:szCs w:val="20"/>
                <w:highlight w:val="green"/>
                <w:lang w:eastAsia="zh-CN"/>
              </w:rPr>
            </w:pPr>
            <w:r w:rsidRPr="00496355">
              <w:rPr>
                <w:rFonts w:eastAsia="MS PGothic"/>
                <w:b/>
                <w:bCs/>
                <w:color w:val="000000"/>
                <w:sz w:val="20"/>
                <w:szCs w:val="20"/>
                <w:highlight w:val="green"/>
                <w:lang w:eastAsia="zh-CN"/>
              </w:rPr>
              <w:t>Agreement</w:t>
            </w:r>
          </w:p>
          <w:p w14:paraId="6B1C1CF2" w14:textId="77777777" w:rsidR="00496355" w:rsidRPr="00496355" w:rsidRDefault="00496355" w:rsidP="00496355">
            <w:pPr>
              <w:numPr>
                <w:ilvl w:val="0"/>
                <w:numId w:val="33"/>
              </w:numPr>
              <w:autoSpaceDE/>
              <w:autoSpaceDN/>
              <w:adjustRightInd/>
              <w:snapToGrid/>
              <w:spacing w:after="0" w:line="252" w:lineRule="atLeast"/>
              <w:jc w:val="left"/>
              <w:rPr>
                <w:rFonts w:eastAsia="MS PGothic"/>
                <w:color w:val="000000"/>
                <w:sz w:val="20"/>
                <w:szCs w:val="20"/>
                <w:lang w:eastAsia="zh-CN"/>
              </w:rPr>
            </w:pPr>
            <w:r w:rsidRPr="00496355">
              <w:rPr>
                <w:rFonts w:eastAsia="MS PGothic"/>
                <w:color w:val="000000"/>
                <w:sz w:val="20"/>
                <w:szCs w:val="20"/>
                <w:lang w:eastAsia="zh-CN"/>
              </w:rPr>
              <w:t>For MsgA PUSCH occasion overlapping with dynamic or semi-static DL reception, leave it to UE implementation to prioritize the DL reception or MsgA PUSCH transmission</w:t>
            </w:r>
          </w:p>
          <w:p w14:paraId="308F5631" w14:textId="77777777" w:rsidR="00496355" w:rsidRPr="00496355" w:rsidRDefault="00496355" w:rsidP="00496355">
            <w:pPr>
              <w:autoSpaceDE/>
              <w:autoSpaceDN/>
              <w:adjustRightInd/>
              <w:snapToGrid/>
              <w:spacing w:after="0" w:line="252" w:lineRule="atLeast"/>
              <w:jc w:val="left"/>
              <w:rPr>
                <w:rFonts w:eastAsia="MS PGothic"/>
                <w:b/>
                <w:bCs/>
                <w:color w:val="000000"/>
                <w:sz w:val="20"/>
                <w:szCs w:val="20"/>
                <w:highlight w:val="green"/>
                <w:lang w:eastAsia="zh-CN"/>
              </w:rPr>
            </w:pPr>
          </w:p>
          <w:p w14:paraId="05EA6D65" w14:textId="77777777" w:rsidR="00496355" w:rsidRPr="00496355" w:rsidRDefault="00496355" w:rsidP="00496355">
            <w:pPr>
              <w:autoSpaceDE/>
              <w:autoSpaceDN/>
              <w:adjustRightInd/>
              <w:snapToGrid/>
              <w:spacing w:after="0" w:line="252" w:lineRule="atLeast"/>
              <w:jc w:val="left"/>
              <w:rPr>
                <w:rFonts w:eastAsia="MS PGothic"/>
                <w:b/>
                <w:bCs/>
                <w:color w:val="000000"/>
                <w:sz w:val="20"/>
                <w:szCs w:val="20"/>
                <w:highlight w:val="green"/>
                <w:lang w:eastAsia="zh-CN"/>
              </w:rPr>
            </w:pPr>
            <w:r w:rsidRPr="00496355">
              <w:rPr>
                <w:rFonts w:eastAsia="MS PGothic"/>
                <w:b/>
                <w:bCs/>
                <w:color w:val="000000"/>
                <w:sz w:val="20"/>
                <w:szCs w:val="20"/>
                <w:highlight w:val="green"/>
                <w:lang w:eastAsia="zh-CN"/>
              </w:rPr>
              <w:t>Agreement</w:t>
            </w:r>
          </w:p>
          <w:p w14:paraId="0D737C22" w14:textId="77777777" w:rsidR="00496355" w:rsidRPr="00496355" w:rsidRDefault="00496355" w:rsidP="00496355">
            <w:pPr>
              <w:numPr>
                <w:ilvl w:val="0"/>
                <w:numId w:val="33"/>
              </w:numPr>
              <w:autoSpaceDE/>
              <w:autoSpaceDN/>
              <w:adjustRightInd/>
              <w:snapToGrid/>
              <w:spacing w:after="0" w:line="252" w:lineRule="atLeast"/>
              <w:jc w:val="left"/>
              <w:rPr>
                <w:rFonts w:eastAsia="MS PGothic"/>
                <w:color w:val="000000"/>
                <w:sz w:val="20"/>
                <w:szCs w:val="20"/>
                <w:lang w:eastAsia="zh-CN"/>
              </w:rPr>
            </w:pPr>
            <w:r w:rsidRPr="00496355">
              <w:rPr>
                <w:rFonts w:eastAsia="MS PGothic"/>
                <w:color w:val="000000"/>
                <w:sz w:val="20"/>
                <w:szCs w:val="20"/>
                <w:lang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226DDFEC" w14:textId="77777777" w:rsidR="00496355" w:rsidRPr="00496355" w:rsidRDefault="00496355" w:rsidP="00496355">
            <w:pPr>
              <w:autoSpaceDE/>
              <w:autoSpaceDN/>
              <w:adjustRightInd/>
              <w:snapToGrid/>
              <w:spacing w:after="0"/>
              <w:jc w:val="left"/>
              <w:rPr>
                <w:rFonts w:ascii="Arial" w:eastAsia="MS Gothic" w:hAnsi="Arial"/>
                <w:i/>
                <w:iCs/>
                <w:color w:val="000000"/>
                <w:sz w:val="20"/>
                <w:szCs w:val="20"/>
                <w:lang w:eastAsia="x-none"/>
              </w:rPr>
            </w:pPr>
          </w:p>
          <w:p w14:paraId="6C3423B8" w14:textId="77777777" w:rsidR="00496355" w:rsidRPr="00496355" w:rsidRDefault="00496355" w:rsidP="00496355">
            <w:pPr>
              <w:autoSpaceDE/>
              <w:autoSpaceDN/>
              <w:adjustRightInd/>
              <w:snapToGrid/>
              <w:spacing w:after="0" w:line="252" w:lineRule="atLeast"/>
              <w:jc w:val="left"/>
              <w:rPr>
                <w:rFonts w:eastAsia="MS PGothic"/>
                <w:b/>
                <w:bCs/>
                <w:color w:val="000000"/>
                <w:sz w:val="20"/>
                <w:szCs w:val="20"/>
                <w:highlight w:val="green"/>
                <w:lang w:eastAsia="zh-CN"/>
              </w:rPr>
            </w:pPr>
            <w:bookmarkStart w:id="2" w:name="_Hlk88171850"/>
            <w:r w:rsidRPr="00496355">
              <w:rPr>
                <w:rFonts w:eastAsia="MS PGothic"/>
                <w:b/>
                <w:bCs/>
                <w:color w:val="000000"/>
                <w:sz w:val="20"/>
                <w:szCs w:val="20"/>
                <w:highlight w:val="green"/>
                <w:lang w:eastAsia="zh-CN"/>
              </w:rPr>
              <w:t>Agreement</w:t>
            </w:r>
          </w:p>
          <w:p w14:paraId="274B3285" w14:textId="77777777" w:rsidR="00496355" w:rsidRPr="00496355" w:rsidRDefault="00496355" w:rsidP="00496355">
            <w:pPr>
              <w:shd w:val="clear" w:color="auto" w:fill="FFFFFF"/>
              <w:autoSpaceDE/>
              <w:autoSpaceDN/>
              <w:adjustRightInd/>
              <w:snapToGrid/>
              <w:spacing w:after="0" w:line="231" w:lineRule="atLeast"/>
              <w:ind w:left="720" w:hanging="360"/>
              <w:rPr>
                <w:rFonts w:eastAsia="MS PGothic"/>
                <w:color w:val="000000"/>
                <w:sz w:val="20"/>
                <w:szCs w:val="20"/>
                <w:lang w:eastAsia="zh-CN"/>
              </w:rPr>
            </w:pPr>
            <w:r w:rsidRPr="00496355">
              <w:rPr>
                <w:rFonts w:ascii="Symbol" w:eastAsia="Microsoft YaHei UI" w:hAnsi="Symbol" w:cs="Calibri"/>
                <w:color w:val="000000"/>
                <w:sz w:val="20"/>
                <w:szCs w:val="20"/>
                <w:lang w:eastAsia="zh-CN"/>
              </w:rPr>
              <w:t></w:t>
            </w:r>
            <w:r w:rsidRPr="00496355">
              <w:rPr>
                <w:rFonts w:eastAsia="Microsoft YaHei UI"/>
                <w:color w:val="000000"/>
                <w:sz w:val="14"/>
                <w:szCs w:val="14"/>
                <w:lang w:eastAsia="zh-CN"/>
              </w:rPr>
              <w:t>  </w:t>
            </w:r>
            <w:r w:rsidRPr="00496355">
              <w:rPr>
                <w:rFonts w:eastAsia="MS PGothic"/>
                <w:color w:val="000000"/>
                <w:sz w:val="20"/>
                <w:szCs w:val="20"/>
                <w:lang w:eastAsia="zh-CN"/>
              </w:rPr>
              <w:t>    The “back-to-back” non-overlapping UL/DL without sufficient gap between cell-specific configured DL and dedicated configured UL may happen, i.e., allowed for HD-FDD UEs</w:t>
            </w:r>
          </w:p>
          <w:p w14:paraId="0ADDE8B8" w14:textId="77777777" w:rsidR="00496355" w:rsidRPr="00496355" w:rsidRDefault="00496355" w:rsidP="00496355">
            <w:pPr>
              <w:numPr>
                <w:ilvl w:val="1"/>
                <w:numId w:val="34"/>
              </w:numPr>
              <w:shd w:val="clear" w:color="auto" w:fill="FFFFFF"/>
              <w:autoSpaceDE/>
              <w:autoSpaceDN/>
              <w:adjustRightInd/>
              <w:snapToGrid/>
              <w:spacing w:after="0" w:line="231" w:lineRule="atLeast"/>
              <w:jc w:val="left"/>
              <w:rPr>
                <w:rFonts w:eastAsia="MS PGothic"/>
                <w:color w:val="000000"/>
                <w:sz w:val="20"/>
                <w:szCs w:val="20"/>
                <w:lang w:eastAsia="zh-CN"/>
              </w:rPr>
            </w:pPr>
            <w:r w:rsidRPr="00496355">
              <w:rPr>
                <w:rFonts w:eastAsia="MS PGothic"/>
                <w:color w:val="000000"/>
                <w:sz w:val="20"/>
                <w:szCs w:val="20"/>
                <w:lang w:eastAsia="zh-CN"/>
              </w:rPr>
              <w:t>E.g., SSB vs. CG PUSCH, PUCCH or SRS</w:t>
            </w:r>
          </w:p>
          <w:p w14:paraId="7E358A7F" w14:textId="77777777" w:rsidR="00496355" w:rsidRPr="00496355" w:rsidRDefault="00496355" w:rsidP="00496355">
            <w:pPr>
              <w:numPr>
                <w:ilvl w:val="1"/>
                <w:numId w:val="34"/>
              </w:numPr>
              <w:shd w:val="clear" w:color="auto" w:fill="FFFFFF"/>
              <w:autoSpaceDE/>
              <w:autoSpaceDN/>
              <w:adjustRightInd/>
              <w:snapToGrid/>
              <w:spacing w:after="0" w:line="231" w:lineRule="atLeast"/>
              <w:jc w:val="left"/>
              <w:rPr>
                <w:rFonts w:eastAsia="MS PGothic"/>
                <w:color w:val="000000"/>
                <w:sz w:val="20"/>
                <w:szCs w:val="20"/>
                <w:lang w:eastAsia="zh-CN"/>
              </w:rPr>
            </w:pPr>
            <w:r w:rsidRPr="00496355">
              <w:rPr>
                <w:rFonts w:eastAsia="MS PGothic"/>
                <w:color w:val="000000"/>
                <w:sz w:val="20"/>
                <w:szCs w:val="20"/>
                <w:lang w:eastAsia="zh-CN"/>
              </w:rPr>
              <w:t>Configured UL transmission is cancelled (as in the overlapping case)</w:t>
            </w:r>
          </w:p>
          <w:p w14:paraId="670F180E" w14:textId="77777777" w:rsidR="00496355" w:rsidRPr="00496355" w:rsidRDefault="00496355" w:rsidP="00496355">
            <w:pPr>
              <w:numPr>
                <w:ilvl w:val="0"/>
                <w:numId w:val="35"/>
              </w:numPr>
              <w:shd w:val="clear" w:color="auto" w:fill="FFFFFF"/>
              <w:autoSpaceDE/>
              <w:autoSpaceDN/>
              <w:adjustRightInd/>
              <w:snapToGrid/>
              <w:spacing w:after="0" w:line="231" w:lineRule="atLeast"/>
              <w:jc w:val="left"/>
              <w:rPr>
                <w:rFonts w:eastAsia="MS PGothic"/>
                <w:color w:val="000000"/>
                <w:sz w:val="20"/>
                <w:szCs w:val="20"/>
                <w:lang w:eastAsia="zh-CN"/>
              </w:rPr>
            </w:pPr>
            <w:r w:rsidRPr="00496355">
              <w:rPr>
                <w:rFonts w:eastAsia="MS PGothic"/>
                <w:color w:val="000000"/>
                <w:sz w:val="20"/>
                <w:szCs w:val="20"/>
                <w:lang w:eastAsia="zh-CN"/>
              </w:rPr>
              <w:t>The “back-to-back” non-overlapping UL/DL without sufficient gap between dedicated configured DL and cell-specific configured UL may happen, i.e., allowed for HD-FDD UEs</w:t>
            </w:r>
          </w:p>
          <w:p w14:paraId="491ABCE8" w14:textId="77777777" w:rsidR="00496355" w:rsidRPr="00496355" w:rsidRDefault="00496355" w:rsidP="00496355">
            <w:pPr>
              <w:numPr>
                <w:ilvl w:val="1"/>
                <w:numId w:val="34"/>
              </w:numPr>
              <w:shd w:val="clear" w:color="auto" w:fill="FFFFFF"/>
              <w:autoSpaceDE/>
              <w:autoSpaceDN/>
              <w:adjustRightInd/>
              <w:snapToGrid/>
              <w:spacing w:after="0" w:line="231" w:lineRule="atLeast"/>
              <w:jc w:val="left"/>
              <w:rPr>
                <w:rFonts w:eastAsia="MS PGothic"/>
                <w:color w:val="000000"/>
                <w:sz w:val="20"/>
                <w:szCs w:val="20"/>
                <w:lang w:eastAsia="zh-CN"/>
              </w:rPr>
            </w:pPr>
            <w:r w:rsidRPr="00496355">
              <w:rPr>
                <w:rFonts w:eastAsia="MS PGothic"/>
                <w:color w:val="000000"/>
                <w:sz w:val="20"/>
                <w:szCs w:val="20"/>
                <w:lang w:eastAsia="zh-CN"/>
              </w:rPr>
              <w:t>E.g., PDCCH in USS, SPS PDSCH, CSI-RS or DL PRS vs. valid RO</w:t>
            </w:r>
          </w:p>
          <w:p w14:paraId="21CDF8BC" w14:textId="77777777" w:rsidR="00496355" w:rsidRPr="00496355" w:rsidRDefault="00496355" w:rsidP="00496355">
            <w:pPr>
              <w:numPr>
                <w:ilvl w:val="1"/>
                <w:numId w:val="34"/>
              </w:numPr>
              <w:shd w:val="clear" w:color="auto" w:fill="FFFFFF"/>
              <w:autoSpaceDE/>
              <w:autoSpaceDN/>
              <w:adjustRightInd/>
              <w:snapToGrid/>
              <w:spacing w:after="0" w:line="231" w:lineRule="atLeast"/>
              <w:jc w:val="left"/>
              <w:rPr>
                <w:rFonts w:eastAsia="MS PGothic"/>
                <w:color w:val="000000"/>
                <w:sz w:val="20"/>
                <w:szCs w:val="20"/>
                <w:lang w:eastAsia="zh-CN"/>
              </w:rPr>
            </w:pPr>
            <w:r w:rsidRPr="00496355">
              <w:rPr>
                <w:rFonts w:eastAsia="MS PGothic"/>
                <w:color w:val="000000"/>
                <w:sz w:val="20"/>
                <w:szCs w:val="20"/>
                <w:lang w:eastAsia="zh-CN"/>
              </w:rPr>
              <w:t>Leave it to UE implementation to cancel either DL reception or UL transmission to ensure sufficient switching time</w:t>
            </w:r>
          </w:p>
          <w:p w14:paraId="75CBFFB6" w14:textId="77777777" w:rsidR="00496355" w:rsidRPr="00496355" w:rsidRDefault="00496355" w:rsidP="00496355">
            <w:pPr>
              <w:shd w:val="clear" w:color="auto" w:fill="FFFFFF"/>
              <w:autoSpaceDE/>
              <w:autoSpaceDN/>
              <w:adjustRightInd/>
              <w:snapToGrid/>
              <w:spacing w:after="0"/>
              <w:jc w:val="left"/>
              <w:rPr>
                <w:rFonts w:ascii="Microsoft YaHei UI" w:eastAsia="Microsoft YaHei UI" w:hAnsi="Microsoft YaHei UI" w:cs="宋体"/>
                <w:color w:val="000000"/>
                <w:sz w:val="21"/>
                <w:szCs w:val="21"/>
                <w:lang w:eastAsia="zh-CN"/>
              </w:rPr>
            </w:pPr>
          </w:p>
          <w:bookmarkEnd w:id="2"/>
          <w:p w14:paraId="2E1DEAE5" w14:textId="77777777" w:rsidR="00496355" w:rsidRPr="00496355" w:rsidRDefault="00496355" w:rsidP="00496355">
            <w:pPr>
              <w:autoSpaceDE/>
              <w:autoSpaceDN/>
              <w:adjustRightInd/>
              <w:snapToGrid/>
              <w:spacing w:after="0" w:line="252" w:lineRule="atLeast"/>
              <w:jc w:val="left"/>
              <w:rPr>
                <w:rFonts w:eastAsia="MS PGothic"/>
                <w:b/>
                <w:bCs/>
                <w:color w:val="000000"/>
                <w:sz w:val="20"/>
                <w:szCs w:val="20"/>
                <w:highlight w:val="green"/>
                <w:lang w:eastAsia="zh-CN"/>
              </w:rPr>
            </w:pPr>
            <w:r w:rsidRPr="00496355">
              <w:rPr>
                <w:rFonts w:eastAsia="MS PGothic"/>
                <w:b/>
                <w:bCs/>
                <w:color w:val="000000"/>
                <w:sz w:val="20"/>
                <w:szCs w:val="20"/>
                <w:highlight w:val="green"/>
                <w:lang w:eastAsia="zh-CN"/>
              </w:rPr>
              <w:t>Agreement</w:t>
            </w:r>
          </w:p>
          <w:p w14:paraId="4CC91DBF" w14:textId="77777777" w:rsidR="00496355" w:rsidRPr="00496355" w:rsidRDefault="00496355" w:rsidP="00496355">
            <w:pPr>
              <w:shd w:val="clear" w:color="auto" w:fill="FFFFFF"/>
              <w:autoSpaceDE/>
              <w:autoSpaceDN/>
              <w:adjustRightInd/>
              <w:snapToGrid/>
              <w:spacing w:after="0" w:line="231" w:lineRule="atLeast"/>
              <w:ind w:left="720" w:hanging="360"/>
              <w:rPr>
                <w:rFonts w:ascii="Calibri" w:eastAsia="Microsoft YaHei UI" w:hAnsi="Calibri" w:cs="Calibri"/>
                <w:color w:val="000000"/>
                <w:lang w:eastAsia="zh-CN"/>
              </w:rPr>
            </w:pPr>
            <w:r w:rsidRPr="00496355">
              <w:rPr>
                <w:rFonts w:ascii="Symbol" w:eastAsia="Microsoft YaHei UI" w:hAnsi="Symbol" w:cs="Calibri"/>
                <w:color w:val="000000"/>
                <w:sz w:val="20"/>
                <w:szCs w:val="20"/>
                <w:lang w:val="en-GB" w:eastAsia="zh-CN"/>
              </w:rPr>
              <w:t></w:t>
            </w:r>
            <w:r w:rsidRPr="00496355">
              <w:rPr>
                <w:rFonts w:eastAsia="Microsoft YaHei UI"/>
                <w:color w:val="000000"/>
                <w:sz w:val="14"/>
                <w:szCs w:val="14"/>
                <w:lang w:val="en-GB" w:eastAsia="zh-CN"/>
              </w:rPr>
              <w:t>   </w:t>
            </w:r>
            <w:r w:rsidRPr="00496355">
              <w:rPr>
                <w:rFonts w:eastAsia="MS PGothic"/>
                <w:color w:val="000000"/>
                <w:sz w:val="20"/>
                <w:szCs w:val="20"/>
                <w:lang w:eastAsia="zh-CN"/>
              </w:rPr>
              <w:t>   No additional UE behavior for DL/UL collision handling is specified in Rel-17 if SFI monitoring is supported for HD-FDD RedCap UEs.</w:t>
            </w:r>
          </w:p>
          <w:p w14:paraId="6FCBC82D" w14:textId="4B59BDE3" w:rsidR="00B41E7E" w:rsidRPr="00496355" w:rsidRDefault="00B41E7E" w:rsidP="00496355">
            <w:pPr>
              <w:overflowPunct w:val="0"/>
              <w:snapToGrid/>
              <w:spacing w:after="180"/>
              <w:contextualSpacing/>
              <w:jc w:val="left"/>
              <w:textAlignment w:val="baseline"/>
              <w:rPr>
                <w:rFonts w:ascii="Gulim" w:hAnsi="Gulim" w:cs="宋体"/>
                <w:sz w:val="21"/>
                <w:lang w:eastAsia="zh-CN"/>
              </w:rPr>
            </w:pPr>
          </w:p>
        </w:tc>
      </w:tr>
    </w:tbl>
    <w:p w14:paraId="6182280F" w14:textId="300F006F" w:rsidR="00E71E64" w:rsidRDefault="005F14B1" w:rsidP="001362CB">
      <w:pPr>
        <w:rPr>
          <w:lang w:eastAsia="zh-CN"/>
        </w:rPr>
      </w:pPr>
      <w:r>
        <w:rPr>
          <w:lang w:eastAsia="zh-CN"/>
        </w:rPr>
        <w:t>In this contribution, we discuss the</w:t>
      </w:r>
      <w:r>
        <w:t xml:space="preserve"> </w:t>
      </w:r>
      <w:r w:rsidR="00731EED">
        <w:t>remaining</w:t>
      </w:r>
      <w:r>
        <w:t xml:space="preserve"> issues for </w:t>
      </w:r>
      <w:r w:rsidR="00731EED" w:rsidRPr="00496355">
        <w:rPr>
          <w:rFonts w:eastAsia="MS PGothic"/>
          <w:color w:val="000000"/>
          <w:sz w:val="20"/>
          <w:szCs w:val="20"/>
          <w:lang w:eastAsia="zh-CN"/>
        </w:rPr>
        <w:t xml:space="preserve">HD-FDD </w:t>
      </w:r>
      <w:r w:rsidR="00731EED" w:rsidRPr="00731EED">
        <w:rPr>
          <w:rFonts w:eastAsia="MS PGothic"/>
          <w:color w:val="000000"/>
          <w:sz w:val="20"/>
          <w:szCs w:val="20"/>
          <w:lang w:eastAsia="zh-CN"/>
        </w:rPr>
        <w:t>operation</w:t>
      </w:r>
      <w:r>
        <w:rPr>
          <w:rFonts w:hint="eastAsia"/>
          <w:lang w:eastAsia="zh-CN"/>
        </w:rPr>
        <w:t>.</w:t>
      </w:r>
    </w:p>
    <w:p w14:paraId="12BB0CD4" w14:textId="548512A7" w:rsidR="007628B3" w:rsidRDefault="001362CB" w:rsidP="004C0F4F">
      <w:pPr>
        <w:pStyle w:val="1"/>
      </w:pPr>
      <w:bookmarkStart w:id="3" w:name="OLE_LINK1"/>
      <w:bookmarkStart w:id="4" w:name="OLE_LINK2"/>
      <w:r>
        <w:lastRenderedPageBreak/>
        <w:t>Discussion</w:t>
      </w:r>
    </w:p>
    <w:p w14:paraId="1FEC4483" w14:textId="1162CA73" w:rsidR="00F87CBE" w:rsidRDefault="00F87CBE" w:rsidP="00F530CE">
      <w:pPr>
        <w:spacing w:after="100"/>
        <w:rPr>
          <w:lang w:eastAsia="zh-CN"/>
        </w:rPr>
      </w:pPr>
      <w:bookmarkStart w:id="5" w:name="OLE_LINK3"/>
      <w:bookmarkStart w:id="6" w:name="OLE_LINK4"/>
      <w:bookmarkEnd w:id="3"/>
      <w:bookmarkEnd w:id="4"/>
      <w:r>
        <w:rPr>
          <w:rFonts w:hint="eastAsia"/>
          <w:lang w:eastAsia="zh-CN"/>
        </w:rPr>
        <w:t>R</w:t>
      </w:r>
      <w:r>
        <w:rPr>
          <w:lang w:eastAsia="zh-CN"/>
        </w:rPr>
        <w:t xml:space="preserve">emaining issues of collision case 5, 8 and 9 were discussed </w:t>
      </w:r>
      <w:r>
        <w:rPr>
          <w:rFonts w:hint="eastAsia"/>
          <w:lang w:eastAsia="zh-CN"/>
        </w:rPr>
        <w:t>i</w:t>
      </w:r>
      <w:r>
        <w:rPr>
          <w:lang w:eastAsia="zh-CN"/>
        </w:rPr>
        <w:t>n the last meeting and those</w:t>
      </w:r>
      <w:r w:rsidRPr="00C46F55">
        <w:rPr>
          <w:lang w:eastAsia="zh-CN"/>
        </w:rPr>
        <w:t xml:space="preserve"> </w:t>
      </w:r>
      <w:r>
        <w:rPr>
          <w:lang w:eastAsia="zh-CN"/>
        </w:rPr>
        <w:t>issues were resolved except a part of case 5. In this chapter, we discuss the</w:t>
      </w:r>
      <w:r w:rsidRPr="00F87CBE">
        <w:rPr>
          <w:rFonts w:hint="eastAsia"/>
          <w:lang w:eastAsia="zh-CN"/>
        </w:rPr>
        <w:t xml:space="preserve"> </w:t>
      </w:r>
      <w:r>
        <w:rPr>
          <w:lang w:eastAsia="zh-CN"/>
        </w:rPr>
        <w:t>r</w:t>
      </w:r>
      <w:r>
        <w:rPr>
          <w:lang w:eastAsia="zh-CN"/>
        </w:rPr>
        <w:t>emaining</w:t>
      </w:r>
      <w:r>
        <w:rPr>
          <w:lang w:eastAsia="zh-CN"/>
        </w:rPr>
        <w:t xml:space="preserve"> part of case 5. </w:t>
      </w:r>
    </w:p>
    <w:p w14:paraId="460D241D" w14:textId="77777777" w:rsidR="00F87CBE" w:rsidRPr="00F87CBE" w:rsidRDefault="00F87CBE" w:rsidP="00F87CBE">
      <w:pPr>
        <w:pStyle w:val="af2"/>
        <w:numPr>
          <w:ilvl w:val="0"/>
          <w:numId w:val="23"/>
        </w:numPr>
        <w:spacing w:after="100"/>
        <w:ind w:firstLineChars="0"/>
        <w:rPr>
          <w:rFonts w:hint="eastAsia"/>
          <w:b/>
          <w:lang w:eastAsia="zh-CN"/>
        </w:rPr>
      </w:pPr>
      <w:r w:rsidRPr="00C7410C">
        <w:rPr>
          <w:b/>
          <w:lang w:eastAsia="zh-CN"/>
        </w:rPr>
        <w:t xml:space="preserve">Case </w:t>
      </w:r>
      <w:r>
        <w:rPr>
          <w:b/>
          <w:lang w:eastAsia="zh-CN"/>
        </w:rPr>
        <w:t>5</w:t>
      </w:r>
      <w:r w:rsidRPr="00F87CBE">
        <w:rPr>
          <w:b/>
          <w:lang w:eastAsia="zh-CN"/>
        </w:rPr>
        <w:t>: Configured SSB vs. dynamically scheduled UL transmission</w:t>
      </w:r>
    </w:p>
    <w:p w14:paraId="012F542A" w14:textId="1E37AD93" w:rsidR="00F87CBE" w:rsidRDefault="00F87CBE" w:rsidP="00496355">
      <w:pPr>
        <w:spacing w:beforeLines="50" w:before="120" w:after="100"/>
        <w:rPr>
          <w:rFonts w:eastAsia="Times New Roman"/>
          <w:lang w:eastAsia="zh-CN"/>
        </w:rPr>
      </w:pPr>
      <w:r>
        <w:rPr>
          <w:rFonts w:eastAsia="Times New Roman"/>
          <w:lang w:eastAsia="zh-CN"/>
        </w:rPr>
        <w:t xml:space="preserve">For case 5, </w:t>
      </w:r>
      <w:r>
        <w:rPr>
          <w:rFonts w:eastAsia="Times New Roman"/>
          <w:lang w:eastAsia="zh-CN"/>
        </w:rPr>
        <w:t>o</w:t>
      </w:r>
      <w:r w:rsidRPr="00496355">
        <w:rPr>
          <w:rFonts w:eastAsia="Times New Roman"/>
          <w:lang w:eastAsia="zh-CN"/>
        </w:rPr>
        <w:t>ption 2</w:t>
      </w:r>
      <w:r>
        <w:rPr>
          <w:rFonts w:eastAsia="Times New Roman"/>
          <w:lang w:eastAsia="zh-CN"/>
        </w:rPr>
        <w:t xml:space="preserve"> was selected for the case of </w:t>
      </w:r>
      <w:r w:rsidRPr="00496355">
        <w:rPr>
          <w:rFonts w:eastAsia="Times New Roman"/>
          <w:lang w:eastAsia="zh-CN"/>
        </w:rPr>
        <w:t>dynami</w:t>
      </w:r>
      <w:r>
        <w:rPr>
          <w:rFonts w:eastAsia="Times New Roman"/>
          <w:lang w:eastAsia="zh-CN"/>
        </w:rPr>
        <w:t xml:space="preserve">cally scheduled UL transmission </w:t>
      </w:r>
      <w:r w:rsidRPr="00496355">
        <w:rPr>
          <w:rFonts w:eastAsia="Times New Roman"/>
          <w:lang w:eastAsia="zh-CN"/>
        </w:rPr>
        <w:t>other than Msg3 (re)transmission and PUCCH for Msg4</w:t>
      </w:r>
      <w:r>
        <w:rPr>
          <w:rFonts w:eastAsia="Times New Roman"/>
          <w:lang w:eastAsia="zh-CN"/>
        </w:rPr>
        <w:t xml:space="preserve"> vs. SSB, i.e., when such a collison occurs, r</w:t>
      </w:r>
      <w:r w:rsidRPr="00496355">
        <w:rPr>
          <w:rFonts w:eastAsia="Times New Roman"/>
          <w:lang w:eastAsia="zh-CN"/>
        </w:rPr>
        <w:t>euse the existing collision handling principles of Rel-15/16 for NR TDD that SSB is prioritized over dynamically scheduled UL transmission</w:t>
      </w:r>
      <w:r>
        <w:rPr>
          <w:rFonts w:eastAsia="Times New Roman"/>
          <w:lang w:eastAsia="zh-CN"/>
        </w:rPr>
        <w:t xml:space="preserve">. While for the case of </w:t>
      </w:r>
      <w:r w:rsidRPr="00496355">
        <w:rPr>
          <w:rFonts w:eastAsia="Times New Roman"/>
          <w:lang w:eastAsia="zh-CN"/>
        </w:rPr>
        <w:t>Msg3 (re)transmission and PUCCH for Msg4</w:t>
      </w:r>
      <w:r>
        <w:rPr>
          <w:rFonts w:eastAsia="Times New Roman"/>
          <w:lang w:eastAsia="zh-CN"/>
        </w:rPr>
        <w:t xml:space="preserve"> vs. SSB, the solutions are need further confirmed and are listed below:</w:t>
      </w:r>
    </w:p>
    <w:p w14:paraId="0FBC8AC1" w14:textId="77777777" w:rsidR="00F87CBE" w:rsidRPr="00393F12" w:rsidRDefault="00F87CBE" w:rsidP="003058F0">
      <w:pPr>
        <w:numPr>
          <w:ilvl w:val="0"/>
          <w:numId w:val="22"/>
        </w:numPr>
        <w:autoSpaceDE/>
        <w:autoSpaceDN/>
        <w:adjustRightInd/>
        <w:snapToGrid/>
        <w:spacing w:beforeLines="50" w:before="120" w:after="100"/>
        <w:rPr>
          <w:rFonts w:eastAsia="等线"/>
          <w:lang w:eastAsia="zh-CN"/>
        </w:rPr>
      </w:pPr>
      <w:r>
        <w:rPr>
          <w:rFonts w:eastAsia="Times New Roman"/>
          <w:lang w:eastAsia="zh-CN"/>
        </w:rPr>
        <w:t xml:space="preserve">Option 1: </w:t>
      </w:r>
      <w:r w:rsidRPr="003058F0">
        <w:t>Dynamically scheduled UL transmission is prioritized over SSB</w:t>
      </w:r>
      <w:r>
        <w:t>.</w:t>
      </w:r>
    </w:p>
    <w:p w14:paraId="4F23CA22" w14:textId="77777777" w:rsidR="00F87CBE" w:rsidRPr="003058F0" w:rsidRDefault="00F87CBE" w:rsidP="003058F0">
      <w:pPr>
        <w:numPr>
          <w:ilvl w:val="0"/>
          <w:numId w:val="22"/>
        </w:numPr>
        <w:autoSpaceDE/>
        <w:autoSpaceDN/>
        <w:adjustRightInd/>
        <w:snapToGrid/>
        <w:spacing w:beforeLines="50" w:before="120" w:after="100"/>
        <w:rPr>
          <w:rFonts w:eastAsia="Times New Roman"/>
          <w:lang w:eastAsia="zh-CN"/>
        </w:rPr>
      </w:pPr>
      <w:r>
        <w:rPr>
          <w:rFonts w:eastAsia="Times New Roman"/>
          <w:lang w:eastAsia="zh-CN"/>
        </w:rPr>
        <w:t xml:space="preserve">Option 2: </w:t>
      </w:r>
      <w:r w:rsidRPr="003058F0">
        <w:rPr>
          <w:rFonts w:eastAsia="Times New Roman"/>
          <w:lang w:eastAsia="zh-CN"/>
        </w:rPr>
        <w:t>Reuse the existing collision handling principles of Rel-15/16 for NR TDD that SSB is</w:t>
      </w:r>
      <w:r>
        <w:rPr>
          <w:rFonts w:hint="eastAsia"/>
          <w:lang w:eastAsia="zh-CN"/>
        </w:rPr>
        <w:t xml:space="preserve"> </w:t>
      </w:r>
      <w:r w:rsidRPr="003058F0">
        <w:rPr>
          <w:rFonts w:eastAsia="Times New Roman"/>
          <w:lang w:eastAsia="zh-CN"/>
        </w:rPr>
        <w:t>prioritized over dynamically scheduled UL transmission</w:t>
      </w:r>
    </w:p>
    <w:p w14:paraId="4D6EF0FA" w14:textId="2671533D" w:rsidR="00F87CBE" w:rsidRDefault="00F87CBE" w:rsidP="001C1C0E">
      <w:pPr>
        <w:spacing w:beforeLines="50" w:before="120" w:after="100"/>
        <w:rPr>
          <w:rFonts w:eastAsia="Times New Roman"/>
          <w:color w:val="000000" w:themeColor="text1"/>
          <w:lang w:eastAsia="zh-CN"/>
        </w:rPr>
      </w:pPr>
      <w:r>
        <w:rPr>
          <w:lang w:eastAsia="zh-CN"/>
        </w:rPr>
        <w:t>Option 1 may beneficial to the initial access procedure, a</w:t>
      </w:r>
      <w:r>
        <w:rPr>
          <w:rFonts w:hint="eastAsia"/>
          <w:lang w:eastAsia="zh-CN"/>
        </w:rPr>
        <w:t>s</w:t>
      </w:r>
      <w:r>
        <w:rPr>
          <w:lang w:eastAsia="zh-CN"/>
        </w:rPr>
        <w:t xml:space="preserve"> UE typically would not perform SSB-based measurement during initial access and there could be some latency impact on initial access if SSB is prioritized over Msg3 (re)transmission and PUCCH for Msg4. However, the RedCap UEs are usually </w:t>
      </w:r>
      <w:r>
        <w:rPr>
          <w:rFonts w:eastAsia="Times New Roman"/>
          <w:color w:val="000000" w:themeColor="text1"/>
          <w:lang w:eastAsia="zh-CN"/>
        </w:rPr>
        <w:t>not latency-</w:t>
      </w:r>
      <w:r w:rsidRPr="001C1C0E">
        <w:rPr>
          <w:rFonts w:eastAsia="Times New Roman"/>
          <w:color w:val="000000" w:themeColor="text1"/>
          <w:lang w:eastAsia="zh-CN"/>
        </w:rPr>
        <w:t>sensitive</w:t>
      </w:r>
      <w:r>
        <w:rPr>
          <w:rFonts w:eastAsia="Times New Roman"/>
          <w:color w:val="000000" w:themeColor="text1"/>
          <w:lang w:eastAsia="zh-CN"/>
        </w:rPr>
        <w:t xml:space="preserve">, </w:t>
      </w:r>
      <w:r w:rsidRPr="001C1C0E">
        <w:rPr>
          <w:rFonts w:eastAsia="Times New Roman"/>
          <w:color w:val="000000" w:themeColor="text1"/>
          <w:lang w:eastAsia="zh-CN"/>
        </w:rPr>
        <w:t>the gain</w:t>
      </w:r>
      <w:r>
        <w:rPr>
          <w:rFonts w:eastAsia="Times New Roman"/>
          <w:color w:val="000000" w:themeColor="text1"/>
          <w:lang w:eastAsia="zh-CN"/>
        </w:rPr>
        <w:t xml:space="preserve"> of option 1</w:t>
      </w:r>
      <w:r w:rsidRPr="001C1C0E">
        <w:rPr>
          <w:rFonts w:eastAsia="Times New Roman"/>
          <w:color w:val="000000" w:themeColor="text1"/>
          <w:lang w:eastAsia="zh-CN"/>
        </w:rPr>
        <w:t xml:space="preserve"> is</w:t>
      </w:r>
      <w:r>
        <w:rPr>
          <w:rFonts w:eastAsia="Times New Roman"/>
          <w:color w:val="000000" w:themeColor="text1"/>
          <w:lang w:eastAsia="zh-CN"/>
        </w:rPr>
        <w:t xml:space="preserve"> quite</w:t>
      </w:r>
      <w:r w:rsidRPr="001C1C0E">
        <w:rPr>
          <w:rFonts w:eastAsia="Times New Roman"/>
          <w:color w:val="000000" w:themeColor="text1"/>
          <w:lang w:eastAsia="zh-CN"/>
        </w:rPr>
        <w:t xml:space="preserve"> limited </w:t>
      </w:r>
      <w:r w:rsidR="00D37832">
        <w:rPr>
          <w:rFonts w:eastAsia="Times New Roman"/>
          <w:color w:val="000000" w:themeColor="text1"/>
          <w:lang w:eastAsia="zh-CN"/>
        </w:rPr>
        <w:t>to</w:t>
      </w:r>
      <w:r w:rsidRPr="001C1C0E">
        <w:rPr>
          <w:rFonts w:eastAsia="Times New Roman"/>
          <w:color w:val="000000" w:themeColor="text1"/>
          <w:lang w:eastAsia="zh-CN"/>
        </w:rPr>
        <w:t xml:space="preserve"> RedCap</w:t>
      </w:r>
      <w:r>
        <w:rPr>
          <w:rFonts w:eastAsia="Times New Roman"/>
          <w:color w:val="000000" w:themeColor="text1"/>
          <w:lang w:eastAsia="zh-CN"/>
        </w:rPr>
        <w:t xml:space="preserve"> </w:t>
      </w:r>
      <w:r w:rsidRPr="001C1C0E">
        <w:rPr>
          <w:rFonts w:eastAsia="Times New Roman"/>
          <w:color w:val="000000" w:themeColor="text1"/>
          <w:lang w:eastAsia="zh-CN"/>
        </w:rPr>
        <w:t>UE</w:t>
      </w:r>
      <w:r>
        <w:rPr>
          <w:rFonts w:eastAsia="Times New Roman"/>
          <w:color w:val="000000" w:themeColor="text1"/>
          <w:lang w:eastAsia="zh-CN"/>
        </w:rPr>
        <w:t xml:space="preserve">. </w:t>
      </w:r>
    </w:p>
    <w:p w14:paraId="2B0E4C4A" w14:textId="5AAE8A7E" w:rsidR="00F87CBE" w:rsidRDefault="00F87CBE" w:rsidP="001C1C0E">
      <w:pPr>
        <w:spacing w:beforeLines="50" w:before="120" w:after="100"/>
        <w:rPr>
          <w:rFonts w:eastAsia="Times New Roman"/>
          <w:color w:val="000000" w:themeColor="text1"/>
          <w:lang w:eastAsia="zh-CN"/>
        </w:rPr>
      </w:pPr>
      <w:bookmarkStart w:id="7" w:name="_GoBack"/>
      <w:r>
        <w:rPr>
          <w:rFonts w:eastAsia="Times New Roman"/>
          <w:color w:val="000000" w:themeColor="text1"/>
          <w:lang w:eastAsia="zh-CN"/>
        </w:rPr>
        <w:t xml:space="preserve">In addition, </w:t>
      </w:r>
      <w:r>
        <w:rPr>
          <w:rFonts w:eastAsia="Times New Roman"/>
          <w:color w:val="000000" w:themeColor="text1"/>
          <w:lang w:eastAsia="zh-CN"/>
        </w:rPr>
        <w:t>o</w:t>
      </w:r>
      <w:r w:rsidRPr="0057509A">
        <w:rPr>
          <w:rFonts w:eastAsia="Times New Roman"/>
          <w:color w:val="000000" w:themeColor="text1"/>
          <w:lang w:eastAsia="zh-CN"/>
        </w:rPr>
        <w:t>ption 2 was agreed for</w:t>
      </w:r>
      <w:r>
        <w:rPr>
          <w:rFonts w:eastAsia="Times New Roman"/>
          <w:color w:val="000000" w:themeColor="text1"/>
          <w:lang w:eastAsia="zh-CN"/>
        </w:rPr>
        <w:t xml:space="preserve"> the cases of </w:t>
      </w:r>
      <w:r w:rsidRPr="0057509A">
        <w:rPr>
          <w:rFonts w:eastAsia="Times New Roman"/>
          <w:color w:val="000000" w:themeColor="text1"/>
          <w:lang w:eastAsia="zh-CN"/>
        </w:rPr>
        <w:t>dynamically scheduled UL transmission other than Msg3 and PUCCH for Msg4</w:t>
      </w:r>
      <w:r>
        <w:rPr>
          <w:rFonts w:eastAsia="Times New Roman"/>
          <w:color w:val="000000" w:themeColor="text1"/>
          <w:lang w:eastAsia="zh-CN"/>
        </w:rPr>
        <w:t>,</w:t>
      </w:r>
      <w:r>
        <w:rPr>
          <w:rFonts w:eastAsia="Times New Roman"/>
          <w:color w:val="000000" w:themeColor="text1"/>
          <w:lang w:eastAsia="zh-CN"/>
        </w:rPr>
        <w:t xml:space="preserve"> if option 1 is adopted here, different solutions were introduced for the same </w:t>
      </w:r>
      <w:r>
        <w:rPr>
          <w:lang w:eastAsia="zh-CN"/>
        </w:rPr>
        <w:t>collision case in</w:t>
      </w:r>
      <w:r>
        <w:rPr>
          <w:rFonts w:eastAsia="Times New Roman"/>
          <w:color w:val="000000" w:themeColor="text1"/>
          <w:lang w:eastAsia="zh-CN"/>
        </w:rPr>
        <w:t xml:space="preserve"> different phase (during the initial access and after initial access), it makes</w:t>
      </w:r>
      <w:r w:rsidRPr="00EB5F4A">
        <w:rPr>
          <w:rFonts w:eastAsia="Times New Roman"/>
          <w:color w:val="000000" w:themeColor="text1"/>
          <w:lang w:eastAsia="zh-CN"/>
        </w:rPr>
        <w:t xml:space="preserve"> the UE behaviour unnecessarily complicated</w:t>
      </w:r>
      <w:r>
        <w:rPr>
          <w:rFonts w:eastAsia="Times New Roman"/>
          <w:color w:val="000000" w:themeColor="text1"/>
          <w:lang w:eastAsia="zh-CN"/>
        </w:rPr>
        <w:t>. In this regard, a unified solution is preferred.</w:t>
      </w:r>
    </w:p>
    <w:bookmarkEnd w:id="7"/>
    <w:p w14:paraId="5E916B14" w14:textId="4E680B7E" w:rsidR="00F87CBE" w:rsidRDefault="00F87CBE" w:rsidP="0057509A">
      <w:pPr>
        <w:spacing w:beforeLines="50" w:before="120" w:after="100"/>
        <w:rPr>
          <w:rFonts w:eastAsia="Times New Roman"/>
          <w:color w:val="000000" w:themeColor="text1"/>
          <w:lang w:eastAsia="zh-CN"/>
        </w:rPr>
      </w:pPr>
      <w:r>
        <w:rPr>
          <w:rFonts w:eastAsia="Times New Roman"/>
          <w:color w:val="000000" w:themeColor="text1"/>
          <w:lang w:eastAsia="zh-CN"/>
        </w:rPr>
        <w:t>Based on above, we prefer option 2 here.</w:t>
      </w:r>
    </w:p>
    <w:p w14:paraId="3C87E638" w14:textId="4ED131BB" w:rsidR="00F87CBE" w:rsidRDefault="00F87CBE" w:rsidP="00D37832">
      <w:pPr>
        <w:spacing w:beforeLines="50" w:before="120" w:after="100"/>
        <w:rPr>
          <w:rFonts w:eastAsia="等线"/>
          <w:b/>
          <w:i/>
          <w:lang w:eastAsia="zh-CN"/>
        </w:rPr>
      </w:pPr>
      <w:r w:rsidRPr="00C33D63">
        <w:rPr>
          <w:rFonts w:eastAsia="Times New Roman"/>
          <w:b/>
          <w:i/>
          <w:lang w:eastAsia="zh-CN"/>
        </w:rPr>
        <w:t xml:space="preserve">Proposal 1: For Case 5 of SSB overlaps with </w:t>
      </w:r>
      <w:r w:rsidRPr="003058F0">
        <w:rPr>
          <w:rFonts w:eastAsia="Times New Roman"/>
          <w:b/>
          <w:i/>
          <w:lang w:eastAsia="zh-CN"/>
        </w:rPr>
        <w:t xml:space="preserve">Msg3 (re)transmission </w:t>
      </w:r>
      <w:r>
        <w:rPr>
          <w:rFonts w:eastAsia="Times New Roman"/>
          <w:b/>
          <w:i/>
          <w:lang w:eastAsia="zh-CN"/>
        </w:rPr>
        <w:t>or</w:t>
      </w:r>
      <w:r w:rsidRPr="003058F0">
        <w:rPr>
          <w:rFonts w:eastAsia="Times New Roman"/>
          <w:b/>
          <w:i/>
          <w:lang w:eastAsia="zh-CN"/>
        </w:rPr>
        <w:t xml:space="preserve"> PUCCH for Msg4</w:t>
      </w:r>
      <w:r w:rsidRPr="00C33D63">
        <w:rPr>
          <w:rFonts w:eastAsia="Times New Roman"/>
          <w:b/>
          <w:i/>
          <w:lang w:eastAsia="zh-CN"/>
        </w:rPr>
        <w:t xml:space="preserve">, </w:t>
      </w:r>
      <w:r w:rsidR="00D37832">
        <w:rPr>
          <w:rFonts w:eastAsia="等线"/>
          <w:b/>
          <w:i/>
          <w:lang w:eastAsia="zh-CN"/>
        </w:rPr>
        <w:t>r</w:t>
      </w:r>
      <w:r w:rsidR="00D37832" w:rsidRPr="00D37832">
        <w:rPr>
          <w:rFonts w:eastAsia="等线"/>
          <w:b/>
          <w:i/>
          <w:lang w:eastAsia="zh-CN"/>
        </w:rPr>
        <w:t>euse the existing collision handling principles of Rel-15/16 for NR TDD that SSB is prioritized over dynamically scheduled UL transmission</w:t>
      </w:r>
    </w:p>
    <w:p w14:paraId="7B02971A" w14:textId="77777777" w:rsidR="00D37832" w:rsidRPr="00DA27B5" w:rsidRDefault="00D37832" w:rsidP="00D37832">
      <w:pPr>
        <w:spacing w:beforeLines="50" w:before="120" w:after="100"/>
        <w:rPr>
          <w:b/>
          <w:i/>
          <w:lang w:eastAsia="zh-CN"/>
        </w:rPr>
      </w:pPr>
    </w:p>
    <w:p w14:paraId="4497D82C" w14:textId="77777777" w:rsidR="00F87CBE" w:rsidRDefault="00F87CBE" w:rsidP="004C0F4F">
      <w:pPr>
        <w:pStyle w:val="1"/>
        <w:spacing w:after="100"/>
        <w:rPr>
          <w:lang w:eastAsia="zh-CN"/>
        </w:rPr>
      </w:pPr>
      <w:bookmarkStart w:id="8" w:name="_Ref494215420"/>
      <w:bookmarkStart w:id="9" w:name="_Ref502921678"/>
      <w:bookmarkStart w:id="10" w:name="_Ref502921460"/>
      <w:bookmarkEnd w:id="5"/>
      <w:bookmarkEnd w:id="6"/>
      <w:r>
        <w:rPr>
          <w:lang w:eastAsia="zh-CN"/>
        </w:rPr>
        <w:t>Conclusion</w:t>
      </w:r>
    </w:p>
    <w:p w14:paraId="104CE40F" w14:textId="77777777" w:rsidR="00F87CBE" w:rsidRDefault="00F87CBE"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 proposals:</w:t>
      </w:r>
    </w:p>
    <w:p w14:paraId="70D5BF48" w14:textId="6CF0AD61" w:rsidR="00F87CBE" w:rsidRPr="00404427" w:rsidRDefault="00F87CBE" w:rsidP="003058F0">
      <w:pPr>
        <w:spacing w:beforeLines="50" w:before="120" w:after="100"/>
        <w:rPr>
          <w:b/>
          <w:i/>
          <w:lang w:eastAsia="zh-CN"/>
        </w:rPr>
      </w:pPr>
      <w:r w:rsidRPr="00C33D63">
        <w:rPr>
          <w:rFonts w:eastAsia="Times New Roman"/>
          <w:b/>
          <w:i/>
          <w:lang w:eastAsia="zh-CN"/>
        </w:rPr>
        <w:t>Proposal 1:</w:t>
      </w:r>
      <w:r w:rsidR="00D37832" w:rsidRPr="00D37832">
        <w:rPr>
          <w:rFonts w:eastAsia="Times New Roman"/>
          <w:b/>
          <w:i/>
          <w:lang w:eastAsia="zh-CN"/>
        </w:rPr>
        <w:t xml:space="preserve"> </w:t>
      </w:r>
      <w:r w:rsidR="00D37832" w:rsidRPr="00C33D63">
        <w:rPr>
          <w:rFonts w:eastAsia="Times New Roman"/>
          <w:b/>
          <w:i/>
          <w:lang w:eastAsia="zh-CN"/>
        </w:rPr>
        <w:t xml:space="preserve">For Case 5 of SSB overlaps with </w:t>
      </w:r>
      <w:r w:rsidR="00D37832" w:rsidRPr="003058F0">
        <w:rPr>
          <w:rFonts w:eastAsia="Times New Roman"/>
          <w:b/>
          <w:i/>
          <w:lang w:eastAsia="zh-CN"/>
        </w:rPr>
        <w:t xml:space="preserve">Msg3 (re)transmission </w:t>
      </w:r>
      <w:r w:rsidR="00D37832">
        <w:rPr>
          <w:rFonts w:eastAsia="Times New Roman"/>
          <w:b/>
          <w:i/>
          <w:lang w:eastAsia="zh-CN"/>
        </w:rPr>
        <w:t>or</w:t>
      </w:r>
      <w:r w:rsidR="00D37832" w:rsidRPr="003058F0">
        <w:rPr>
          <w:rFonts w:eastAsia="Times New Roman"/>
          <w:b/>
          <w:i/>
          <w:lang w:eastAsia="zh-CN"/>
        </w:rPr>
        <w:t xml:space="preserve"> PUCCH for Msg4</w:t>
      </w:r>
      <w:r w:rsidR="00D37832" w:rsidRPr="00C33D63">
        <w:rPr>
          <w:rFonts w:eastAsia="Times New Roman"/>
          <w:b/>
          <w:i/>
          <w:lang w:eastAsia="zh-CN"/>
        </w:rPr>
        <w:t xml:space="preserve">, </w:t>
      </w:r>
      <w:r w:rsidR="00D37832">
        <w:rPr>
          <w:rFonts w:eastAsia="等线"/>
          <w:b/>
          <w:i/>
          <w:lang w:eastAsia="zh-CN"/>
        </w:rPr>
        <w:t>r</w:t>
      </w:r>
      <w:r w:rsidR="00D37832" w:rsidRPr="00D37832">
        <w:rPr>
          <w:rFonts w:eastAsia="等线"/>
          <w:b/>
          <w:i/>
          <w:lang w:eastAsia="zh-CN"/>
        </w:rPr>
        <w:t>euse the existing collision handling principles of Rel-15/16 for NR TDD that SSB is prioritized over dynamically scheduled UL transmission</w:t>
      </w:r>
    </w:p>
    <w:p w14:paraId="531810F6" w14:textId="77777777" w:rsidR="00F87CBE" w:rsidRPr="003058F0" w:rsidRDefault="00F87CBE" w:rsidP="004C0F4F">
      <w:pPr>
        <w:spacing w:after="100"/>
        <w:rPr>
          <w:lang w:eastAsia="zh-CN"/>
        </w:rPr>
      </w:pPr>
    </w:p>
    <w:p w14:paraId="5D4F851B" w14:textId="77777777" w:rsidR="00F87CBE" w:rsidRPr="00B41E7E" w:rsidRDefault="00F87CBE" w:rsidP="004C0F4F">
      <w:pPr>
        <w:spacing w:after="100"/>
        <w:rPr>
          <w:lang w:eastAsia="zh-CN"/>
        </w:rPr>
      </w:pPr>
    </w:p>
    <w:p w14:paraId="4EB2518C" w14:textId="77777777" w:rsidR="00F87CBE" w:rsidRPr="00121552" w:rsidRDefault="00F87CBE" w:rsidP="004C0F4F">
      <w:pPr>
        <w:pStyle w:val="1"/>
        <w:spacing w:after="100"/>
        <w:rPr>
          <w:lang w:eastAsia="zh-CN"/>
        </w:rPr>
      </w:pPr>
      <w:r w:rsidRPr="00121552">
        <w:rPr>
          <w:lang w:eastAsia="zh-CN"/>
        </w:rPr>
        <w:t xml:space="preserve">Reference </w:t>
      </w:r>
    </w:p>
    <w:bookmarkEnd w:id="8"/>
    <w:bookmarkEnd w:id="9"/>
    <w:bookmarkEnd w:id="10"/>
    <w:p w14:paraId="30C62DBC" w14:textId="77777777" w:rsidR="00C46F55" w:rsidRPr="00121552" w:rsidRDefault="00C46F55" w:rsidP="00C46F55">
      <w:pPr>
        <w:pStyle w:val="af2"/>
        <w:numPr>
          <w:ilvl w:val="0"/>
          <w:numId w:val="6"/>
        </w:numPr>
        <w:ind w:firstLineChars="0"/>
        <w:rPr>
          <w:lang w:eastAsia="zh-CN"/>
        </w:rPr>
      </w:pPr>
      <w:r w:rsidRPr="00121552">
        <w:rPr>
          <w:lang w:eastAsia="zh-CN"/>
        </w:rPr>
        <w:t>RP-211574, Revised WID on support of reduced capability NR devices.</w:t>
      </w:r>
    </w:p>
    <w:p w14:paraId="6491073D" w14:textId="61657C77" w:rsidR="00B44AE8" w:rsidRPr="00121552" w:rsidRDefault="00BD7139" w:rsidP="00496355">
      <w:pPr>
        <w:pStyle w:val="af2"/>
        <w:numPr>
          <w:ilvl w:val="0"/>
          <w:numId w:val="6"/>
        </w:numPr>
        <w:ind w:firstLineChars="0"/>
        <w:rPr>
          <w:lang w:eastAsia="zh-CN"/>
        </w:rPr>
      </w:pPr>
      <w:r w:rsidRPr="00121552">
        <w:rPr>
          <w:lang w:eastAsia="zh-CN"/>
        </w:rPr>
        <w:t xml:space="preserve">Chairman’s Notes, </w:t>
      </w:r>
      <w:r w:rsidR="0010608C" w:rsidRPr="00121552">
        <w:rPr>
          <w:rFonts w:hint="eastAsia"/>
          <w:lang w:eastAsia="zh-CN"/>
        </w:rPr>
        <w:t>R</w:t>
      </w:r>
      <w:r w:rsidR="00681091" w:rsidRPr="00121552">
        <w:rPr>
          <w:lang w:eastAsia="zh-CN"/>
        </w:rPr>
        <w:t>AN1#10</w:t>
      </w:r>
      <w:r w:rsidR="00496355">
        <w:rPr>
          <w:lang w:eastAsia="zh-CN"/>
        </w:rPr>
        <w:t>7</w:t>
      </w:r>
      <w:r w:rsidRPr="00121552">
        <w:rPr>
          <w:lang w:eastAsia="zh-CN"/>
        </w:rPr>
        <w:t xml:space="preserve">, </w:t>
      </w:r>
      <w:r w:rsidR="00B41E7E" w:rsidRPr="00121552">
        <w:rPr>
          <w:lang w:eastAsia="zh-CN"/>
        </w:rPr>
        <w:t>e-Meeting</w:t>
      </w:r>
      <w:r w:rsidR="003357F9" w:rsidRPr="00121552">
        <w:rPr>
          <w:lang w:eastAsia="zh-CN"/>
        </w:rPr>
        <w:t>.</w:t>
      </w:r>
      <w:r w:rsidR="00456AA3" w:rsidRPr="00121552">
        <w:t xml:space="preserve"> </w:t>
      </w:r>
      <w:r w:rsidR="00496355" w:rsidRPr="00496355">
        <w:t>November 11th – 19th, 2021</w:t>
      </w:r>
      <w:r w:rsidR="00496355">
        <w:t>.</w:t>
      </w:r>
    </w:p>
    <w:sectPr w:rsidR="00B44AE8" w:rsidRPr="001215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4841F" w14:textId="77777777" w:rsidR="00B94A79" w:rsidRDefault="00B94A79">
      <w:r>
        <w:separator/>
      </w:r>
    </w:p>
  </w:endnote>
  <w:endnote w:type="continuationSeparator" w:id="0">
    <w:p w14:paraId="0AE5E3F2" w14:textId="77777777" w:rsidR="00B94A79" w:rsidRDefault="00B94A79">
      <w:r>
        <w:continuationSeparator/>
      </w:r>
    </w:p>
  </w:endnote>
  <w:endnote w:type="continuationNotice" w:id="1">
    <w:p w14:paraId="641BCA35" w14:textId="77777777" w:rsidR="00B94A79" w:rsidRDefault="00B94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Gulim">
    <w:altName w:val="Malgun Gothic Semilight"/>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CD9C5" w14:textId="77777777" w:rsidR="00B94A79" w:rsidRDefault="00B94A79">
      <w:r>
        <w:separator/>
      </w:r>
    </w:p>
  </w:footnote>
  <w:footnote w:type="continuationSeparator" w:id="0">
    <w:p w14:paraId="43378487" w14:textId="77777777" w:rsidR="00B94A79" w:rsidRDefault="00B94A79">
      <w:r>
        <w:continuationSeparator/>
      </w:r>
    </w:p>
  </w:footnote>
  <w:footnote w:type="continuationNotice" w:id="1">
    <w:p w14:paraId="1C38CEAB" w14:textId="77777777" w:rsidR="00B94A79" w:rsidRDefault="00B94A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F508F9"/>
    <w:multiLevelType w:val="hybridMultilevel"/>
    <w:tmpl w:val="552E34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2"/>
  </w:num>
  <w:num w:numId="3">
    <w:abstractNumId w:val="27"/>
  </w:num>
  <w:num w:numId="4">
    <w:abstractNumId w:val="29"/>
  </w:num>
  <w:num w:numId="5">
    <w:abstractNumId w:val="20"/>
  </w:num>
  <w:num w:numId="6">
    <w:abstractNumId w:val="9"/>
  </w:num>
  <w:num w:numId="7">
    <w:abstractNumId w:val="15"/>
  </w:num>
  <w:num w:numId="8">
    <w:abstractNumId w:val="30"/>
  </w:num>
  <w:num w:numId="9">
    <w:abstractNumId w:val="0"/>
  </w:num>
  <w:num w:numId="10">
    <w:abstractNumId w:val="16"/>
  </w:num>
  <w:num w:numId="11">
    <w:abstractNumId w:val="3"/>
  </w:num>
  <w:num w:numId="12">
    <w:abstractNumId w:val="22"/>
  </w:num>
  <w:num w:numId="13">
    <w:abstractNumId w:val="14"/>
  </w:num>
  <w:num w:numId="14">
    <w:abstractNumId w:val="24"/>
  </w:num>
  <w:num w:numId="15">
    <w:abstractNumId w:val="17"/>
  </w:num>
  <w:num w:numId="16">
    <w:abstractNumId w:val="8"/>
  </w:num>
  <w:num w:numId="17">
    <w:abstractNumId w:val="12"/>
  </w:num>
  <w:num w:numId="18">
    <w:abstractNumId w:val="18"/>
  </w:num>
  <w:num w:numId="19">
    <w:abstractNumId w:val="10"/>
  </w:num>
  <w:num w:numId="20">
    <w:abstractNumId w:val="2"/>
  </w:num>
  <w:num w:numId="21">
    <w:abstractNumId w:val="28"/>
  </w:num>
  <w:num w:numId="22">
    <w:abstractNumId w:val="6"/>
  </w:num>
  <w:num w:numId="23">
    <w:abstractNumId w:val="34"/>
  </w:num>
  <w:num w:numId="24">
    <w:abstractNumId w:val="5"/>
  </w:num>
  <w:num w:numId="25">
    <w:abstractNumId w:val="19"/>
  </w:num>
  <w:num w:numId="26">
    <w:abstractNumId w:val="7"/>
  </w:num>
  <w:num w:numId="27">
    <w:abstractNumId w:val="4"/>
  </w:num>
  <w:num w:numId="28">
    <w:abstractNumId w:val="13"/>
  </w:num>
  <w:num w:numId="29">
    <w:abstractNumId w:val="33"/>
  </w:num>
  <w:num w:numId="30">
    <w:abstractNumId w:val="1"/>
  </w:num>
  <w:num w:numId="31">
    <w:abstractNumId w:val="23"/>
  </w:num>
  <w:num w:numId="32">
    <w:abstractNumId w:val="21"/>
  </w:num>
  <w:num w:numId="33">
    <w:abstractNumId w:val="31"/>
  </w:num>
  <w:num w:numId="34">
    <w:abstractNumId w:val="26"/>
  </w:num>
  <w:num w:numId="35">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4F8"/>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8F0"/>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4FC4"/>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E0F"/>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9798C"/>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82AA-FD26-48B4-B4B6-2260D9877792}">
  <ds:schemaRefs>
    <ds:schemaRef ds:uri="http://schemas.openxmlformats.org/officeDocument/2006/bibliography"/>
  </ds:schemaRefs>
</ds:datastoreItem>
</file>

<file path=customXml/itemProps2.xml><?xml version="1.0" encoding="utf-8"?>
<ds:datastoreItem xmlns:ds="http://schemas.openxmlformats.org/officeDocument/2006/customXml" ds:itemID="{29497D0D-19D7-4E71-A60E-FCACA632CF66}">
  <ds:schemaRefs>
    <ds:schemaRef ds:uri="http://schemas.openxmlformats.org/officeDocument/2006/bibliography"/>
  </ds:schemaRefs>
</ds:datastoreItem>
</file>

<file path=customXml/itemProps3.xml><?xml version="1.0" encoding="utf-8"?>
<ds:datastoreItem xmlns:ds="http://schemas.openxmlformats.org/officeDocument/2006/customXml" ds:itemID="{3E8EAB64-C817-4FB5-B697-00D7AA2AAAB8}">
  <ds:schemaRefs>
    <ds:schemaRef ds:uri="http://schemas.openxmlformats.org/officeDocument/2006/bibliography"/>
  </ds:schemaRefs>
</ds:datastoreItem>
</file>

<file path=customXml/itemProps4.xml><?xml version="1.0" encoding="utf-8"?>
<ds:datastoreItem xmlns:ds="http://schemas.openxmlformats.org/officeDocument/2006/customXml" ds:itemID="{5E9609F5-3A14-430A-B3A6-FCD602BE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2022-02-10T09:14:00Z</dcterms:created>
  <dcterms:modified xsi:type="dcterms:W3CDTF">2022-02-10T09:14:00Z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